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39"/>
        <w:gridCol w:w="3544"/>
        <w:gridCol w:w="3402"/>
        <w:tblGridChange w:id="0">
          <w:tblGrid>
            <w:gridCol w:w="3539"/>
            <w:gridCol w:w="3544"/>
            <w:gridCol w:w="3402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UNIVERSIDAD AUTÓNOMA DE CHIHUAHUA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128905</wp:posOffset>
                  </wp:positionV>
                  <wp:extent cx="1438275" cy="1519142"/>
                  <wp:effectExtent b="0" l="0" r="0" t="0"/>
                  <wp:wrapSquare wrapText="bothSides" distB="0" distT="0" distL="114300" distR="114300"/>
                  <wp:docPr descr="C:\Users\Yolanda\AppData\Local\Temp\UACH_blanco_y_negro.png" id="2" name="image1.png"/>
                  <a:graphic>
                    <a:graphicData uri="http://schemas.openxmlformats.org/drawingml/2006/picture">
                      <pic:pic>
                        <pic:nvPicPr>
                          <pic:cNvPr descr="C:\Users\Yolanda\AppData\Local\Temp\UACH_blanco_y_negro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5191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 ACADEMICA: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FACULTAD DE ODONTOLOGIA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PROGRAMA DE LA UNIDAD DE APRENDIZAJE: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Clínica de Estomatología: Diagnóstico.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c9c9" w:val="clear"/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DES:</w:t>
            </w:r>
          </w:p>
        </w:tc>
        <w:tc>
          <w:tcPr>
            <w:shd w:fill="c9c9c9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SALUD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Programa académico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Maestria en Estomatología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Tipo de materia (Obli/Opta):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Obligatoria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Clave de la materia: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CL104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Semestre: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Primero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Área en plan de estudios: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Especifica Odontopediatria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de horas por semana: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Teoría: Presencial o Virtual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Laboratorio o Taller: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Prácticas: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 hrs.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right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Trabajo extra-clase: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right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Créditos Totales: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 hrs.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right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de horas semestre (x sem):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256 hrs.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Fecha de actualización: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05/02/2024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right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Prerrequisito 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right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Realizado por: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M.O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Norma I. Dominguez T.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M.E.O Nydia E. Hinojos V.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M.E.O Gilberto Sáenz G.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Dra. Rosaura Pacheco S.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M.E.O Laura Carlos Ballesteros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M.E.O Karla Oropeza R.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M.E.O Yahaira Bejarano T.</w:t>
            </w:r>
          </w:p>
        </w:tc>
      </w:tr>
      <w:tr>
        <w:trPr>
          <w:cantSplit w:val="0"/>
          <w:trHeight w:val="142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DESCRIPCIÓN: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clínica de estomatología permite al estudiante del posgrado en odontopediatría y ortopedia dentofacial, poner en práctica los conocimientos adquiridos en el área de diagnóstico, con base en propedeútica médica conformando de manera integral el expediente médico y utilizando auxiliares de diagnóstico como son los imagenológicos y  de laboratorio, estrategias avanzadas para el manejo de conducta del paciente infantil, así como tratamientos preventivos y de rehabilitación de las enfermedades bucales de mayor prevalencia desde el nacimiento a la adolescencia, utilizando materiales de vanguardia. Además de brindar a los padres o tutores la información necesaria para mantener el buen estado de salud del paciente hasta su edad adulta.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Promueve el respeto por la diversidad cultural y la atención equitativa a pacientes de diferentes contextos, abordando también las necesidades de comunidades vulnerables. Los estudiantes trabajan de manera inter y transdisciplinaria. Este enfoque garantiza el desarrollo de competencias clínicas basadas en evidencia, ética y compromiso social, alineadas con los criterios de excelencia educativa y aprendizaje a lo largo de la vida.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568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COMPETENCIAS PARA DESARROLLAR:  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E4. Diseño Integral e Interdisciplinario del Plan de Tratamiento Estomatológico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E4. Desarrolla un plan de tratamiento integral e interdisciplinario con el objetivo de ofrecer opciones de solución a los problemas de salud bucal. Este plan incorpora procedimientos de vanguardia y se rige por un compromiso ético y bioético.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E.4.2.   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cantSplit w:val="0"/>
          <w:trHeight w:val="568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E5. Tratamiento Odontologíco Clínico Especializado de Calidad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E5. Establece una práctica estomatológica de excelencia mediante un enfoque integral, inter y multidisciplinario, respaldado por una actitud de servicio.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E.5.1. 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cantSplit w:val="0"/>
          <w:trHeight w:val="568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O.OP. Promoción de salud estomatológica en el niño y adolescente hacia una edad adulta de calidad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O.OP. Principales enfermedades estomatológicas, su relación con el estado de salud general y el desarrollo de estrategias para la promoción de la salud que impactan en la calidad de vida del Individuo y la comunidad.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O.OP.5.  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2693"/>
        <w:gridCol w:w="2126"/>
        <w:gridCol w:w="2126"/>
        <w:gridCol w:w="2014"/>
        <w:tblGridChange w:id="0">
          <w:tblGrid>
            <w:gridCol w:w="1668"/>
            <w:gridCol w:w="2693"/>
            <w:gridCol w:w="2126"/>
            <w:gridCol w:w="2126"/>
            <w:gridCol w:w="2014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DOMINIOS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(Se toman de las competencias)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OBJETOS DE ESTUDIO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(Contenidos necesarios para desarrollar cada uno de los dominios)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RESULTADOS DE APRENDIZAJE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(Se plantean de los dominios y contenidos) </w:t>
            </w:r>
          </w:p>
        </w:tc>
        <w:tc>
          <w:tcPr>
            <w:tcBorders>
              <w:bottom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METODOLOGÍA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(Estrategias, secuencias, recursos didácticos)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EVIDENCIAS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(Productos tangibles que permiten valorar los resultados de aprendizaje)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O.OP.5. Identifica e intercepta agentes perturbadores del aparato estomatognático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E.5.1. Realiza con calidad los procedimientos técnicos, clínicos y de laboratorio para la construcción completa de la rehabilitación estomatológica integral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E.4.2. Interpreta un diagnóstico que permita tratar al paciente acorde a sus necesidades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de estudio 1</w:t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Expediente médico en estomatología pediátrica.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Técnicas de manejo y modificación de la conducta.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Objeto de estudio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Preparación pre y transoperatoria del paciente pediátrico.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Manejo del campo operatorio.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Objeto de estudio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Bases para el diagnóstico de las alteraciones bucodentofaciales de mayor prevalencia.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Protocolos de atención individualizado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Estrategias de promoción y difusión de la salud bucal.</w:t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Planifica 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Practica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Planifica de manera individualizada, protocolos para la atención de las enfermedades de mayor prevalencia del aparato estomatognático , utilizando técnicas de diagnóstico actualizadas y materiales de vanguardia , llevándolo a la práctica en un marco ético y apegado a la normatividad vigente.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Práctica Clínica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Medicina Basada en Evidencia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Solución de casos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Diagnóstico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Protocolo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Notas Medicas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Procedimiento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07"/>
        <w:gridCol w:w="4820"/>
        <w:tblGridChange w:id="0">
          <w:tblGrid>
            <w:gridCol w:w="5807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c9c9c9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FUENTES DE INFORMACIÓN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(Bibliografía, direcciones electrónicas)</w:t>
            </w:r>
          </w:p>
        </w:tc>
        <w:tc>
          <w:tcPr>
            <w:shd w:fill="c9c9c9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EVALUACIÓN DE LOS APRENDIZAJES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(Criterios, ponderación e instrumentos)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Artículos científicos de revistas indexadas y alto impacto.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Bates, B. (1988). Propedeútica Médica (3ra. ed.). Editorial Harla.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Correa, M. S. N. (2009). Odontopediatría en la primera infancia. Grupo Editorial Nacional, Santos.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Gudiño-Fernández, S. (2023). Abordaje Clínico Integral de Mínima Intervención. De la lesión de caries dental. Diagnóstico, Biomateriales y Tratamiento. Editorial Amolca.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J. R. Boj M. Catalá C García- Ballesta A. Mendoza P. Planells. (2012). Odontopediatría La evolución del niño y el adolescente. Editorial Mèdica Ripano.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McDonald/Avery. (1990). Odontología Pediátrica y del adolescente. Editorial Médica Panamericana.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Pinkham, J. R. (1996). Odontología Pediátrica. McGraw-Hill Interamericana.</w:t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Whaites, E., &amp; Drage, N. (2021). Fundamentos de radiología dental. Elsevier Health Sciences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Farman, A. G. (2007). Getting the most out of panoramic radiographic interpretation. In Panoramic radiology: seminars on maxillofacial imaging and interpretation (pp. 1-5). Springer Berlin Heidelberg.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Kumar, S. R. (2011). Step by Step® Oral Radiology. JAYPEE BROTHERS PUBLISHERS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Cameron, A., Widmer, R. (2000). Manual de odontología pediátrica. España: Harcourt.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Nakata, M., Wei, S. H. Y. (1997). Guía oclusal en odontopediatría.Tokyo: AMOLCA.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Barberia. E. (2005). Atlas de odonotología infantil para pediatras y odontólogos.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España: Ripano.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Simoes, W. A. (2004). Ortopedia funcional de los maxilares. Brasil: Artes médicas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Latinoamérica.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Bezerra, L. A. (2008). Tratado de odontopediatría. Brasil: AMOLCA.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Echarri, P. A. (2009). Tratamiento ortodóncico y ortopédico de 1ª fase en dentición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mixta. Madrid: Ripano.</w:t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56" w:lineRule="auto"/>
              <w:ind w:left="170" w:hanging="17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odos los objetos de estudio serán evaluados con las bitácoras de procedimientos clínicos, así como notas médicas del expediente médico.  100%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4"/>
        <w:spacing w:line="276" w:lineRule="auto"/>
        <w:ind w:firstLine="34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CRONOGRAMA</w:t>
      </w:r>
    </w:p>
    <w:p w:rsidR="00000000" w:rsidDel="00000000" w:rsidP="00000000" w:rsidRDefault="00000000" w:rsidRPr="00000000" w14:paraId="000000D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7"/>
        <w:gridCol w:w="442"/>
        <w:gridCol w:w="442"/>
        <w:gridCol w:w="443"/>
        <w:gridCol w:w="441"/>
        <w:gridCol w:w="441"/>
        <w:gridCol w:w="442"/>
        <w:gridCol w:w="441"/>
        <w:gridCol w:w="442"/>
        <w:gridCol w:w="441"/>
        <w:gridCol w:w="483"/>
        <w:gridCol w:w="483"/>
        <w:gridCol w:w="483"/>
        <w:gridCol w:w="483"/>
        <w:gridCol w:w="483"/>
        <w:gridCol w:w="790"/>
        <w:gridCol w:w="851"/>
        <w:tblGridChange w:id="0">
          <w:tblGrid>
            <w:gridCol w:w="2567"/>
            <w:gridCol w:w="442"/>
            <w:gridCol w:w="442"/>
            <w:gridCol w:w="443"/>
            <w:gridCol w:w="441"/>
            <w:gridCol w:w="441"/>
            <w:gridCol w:w="442"/>
            <w:gridCol w:w="441"/>
            <w:gridCol w:w="442"/>
            <w:gridCol w:w="441"/>
            <w:gridCol w:w="483"/>
            <w:gridCol w:w="483"/>
            <w:gridCol w:w="483"/>
            <w:gridCol w:w="483"/>
            <w:gridCol w:w="483"/>
            <w:gridCol w:w="790"/>
            <w:gridCol w:w="851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Objetos de estudio </w:t>
            </w:r>
          </w:p>
        </w:tc>
        <w:tc>
          <w:tcPr>
            <w:gridSpan w:val="16"/>
            <w:shd w:fill="d9d9d9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Semanas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Objeto de estudio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Objeto de estudio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Objeto de estudio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85F4A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 w:val="es-ES"/>
    </w:rPr>
  </w:style>
  <w:style w:type="paragraph" w:styleId="Ttulo4">
    <w:name w:val="heading 4"/>
    <w:basedOn w:val="Normal"/>
    <w:next w:val="Normal"/>
    <w:link w:val="Ttulo4Car"/>
    <w:qFormat w:val="1"/>
    <w:rsid w:val="00F85F4A"/>
    <w:pPr>
      <w:keepNext w:val="1"/>
      <w:spacing w:after="60" w:before="240"/>
      <w:outlineLvl w:val="3"/>
    </w:pPr>
    <w:rPr>
      <w:b w:val="1"/>
      <w:bCs w:val="1"/>
      <w:sz w:val="28"/>
      <w:szCs w:val="28"/>
      <w:lang w:val="es-MX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4Car" w:customStyle="1">
    <w:name w:val="Título 4 Car"/>
    <w:basedOn w:val="Fuentedeprrafopredeter"/>
    <w:link w:val="Ttulo4"/>
    <w:rsid w:val="00F85F4A"/>
    <w:rPr>
      <w:rFonts w:ascii="Times New Roman" w:cs="Times New Roman" w:eastAsia="Times New Roman" w:hAnsi="Times New Roman"/>
      <w:b w:val="1"/>
      <w:bCs w:val="1"/>
      <w:kern w:val="0"/>
      <w:sz w:val="28"/>
      <w:szCs w:val="28"/>
      <w:lang w:eastAsia="es-ES"/>
    </w:rPr>
  </w:style>
  <w:style w:type="paragraph" w:styleId="CompanyName" w:customStyle="1">
    <w:name w:val="Company Name"/>
    <w:basedOn w:val="Normal"/>
    <w:rsid w:val="00F85F4A"/>
    <w:pPr>
      <w:tabs>
        <w:tab w:val="left" w:pos="1440"/>
      </w:tabs>
      <w:spacing w:after="360" w:before="480"/>
    </w:pPr>
    <w:rPr>
      <w:b w:val="1"/>
      <w:caps w:val="1"/>
      <w:spacing w:val="80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F85F4A"/>
    <w:pPr>
      <w:tabs>
        <w:tab w:val="center" w:pos="4252"/>
        <w:tab w:val="right" w:pos="8504"/>
      </w:tabs>
    </w:pPr>
    <w:rPr>
      <w:lang w:val="es-MX"/>
    </w:rPr>
  </w:style>
  <w:style w:type="character" w:styleId="PiedepginaCar" w:customStyle="1">
    <w:name w:val="Pie de página Car"/>
    <w:basedOn w:val="Fuentedeprrafopredeter"/>
    <w:link w:val="Piedepgina"/>
    <w:rsid w:val="00F85F4A"/>
    <w:rPr>
      <w:rFonts w:ascii="Times New Roman" w:cs="Times New Roman" w:eastAsia="Times New Roman" w:hAnsi="Times New Roman"/>
      <w:kern w:val="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85F4A"/>
    <w:pPr>
      <w:spacing w:after="0"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lumnHead" w:customStyle="1">
    <w:name w:val="ColumnHead"/>
    <w:basedOn w:val="Normal"/>
    <w:rsid w:val="00F85F4A"/>
    <w:pPr>
      <w:jc w:val="center"/>
    </w:pPr>
    <w:rPr>
      <w:b w:val="1"/>
      <w:caps w:val="1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 w:val="1"/>
    <w:rsid w:val="00F85F4A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 w:val="es-MX"/>
    </w:rPr>
  </w:style>
  <w:style w:type="character" w:styleId="Textodelmarcadordeposicin">
    <w:name w:val="Placeholder Text"/>
    <w:basedOn w:val="Fuentedeprrafopredeter"/>
    <w:uiPriority w:val="99"/>
    <w:semiHidden w:val="1"/>
    <w:rsid w:val="00F85F4A"/>
    <w:rPr>
      <w:color w:val="808080"/>
    </w:rPr>
  </w:style>
  <w:style w:type="character" w:styleId="Estilo1" w:customStyle="1">
    <w:name w:val="Estilo1"/>
    <w:basedOn w:val="Fuentedeprrafopredeter"/>
    <w:uiPriority w:val="1"/>
    <w:rsid w:val="00F85F4A"/>
    <w:rPr>
      <w:bdr w:color="auto" w:space="0" w:sz="4"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F85F4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85F4A"/>
    <w:rPr>
      <w:rFonts w:ascii="Times New Roman" w:cs="Times New Roman" w:eastAsia="Times New Roman" w:hAnsi="Times New Roman"/>
      <w:kern w:val="0"/>
      <w:sz w:val="24"/>
      <w:szCs w:val="24"/>
      <w:lang w:eastAsia="es-ES" w:val="es-ES"/>
    </w:rPr>
  </w:style>
  <w:style w:type="paragraph" w:styleId="Default" w:customStyle="1">
    <w:name w:val="Default"/>
    <w:rsid w:val="00324BF3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kern w:val="0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 w:val="1"/>
    <w:rsid w:val="00F24C2F"/>
    <w:rPr>
      <w:i w:val="1"/>
      <w:iCs w:val="1"/>
    </w:rPr>
  </w:style>
  <w:style w:type="paragraph" w:styleId="NormalWeb">
    <w:name w:val="Normal (Web)"/>
    <w:basedOn w:val="Normal"/>
    <w:uiPriority w:val="99"/>
    <w:unhideWhenUsed w:val="1"/>
    <w:rsid w:val="00631C0F"/>
    <w:pPr>
      <w:spacing w:after="100" w:afterAutospacing="1" w:before="100" w:beforeAutospacing="1"/>
    </w:pPr>
    <w:rPr>
      <w:lang w:eastAsia="es-MX" w:val="es-MX"/>
    </w:rPr>
  </w:style>
  <w:style w:type="character" w:styleId="Textoennegrita">
    <w:name w:val="Strong"/>
    <w:basedOn w:val="Fuentedeprrafopredeter"/>
    <w:uiPriority w:val="22"/>
    <w:qFormat w:val="1"/>
    <w:rsid w:val="00007B3B"/>
    <w:rPr>
      <w:b w:val="1"/>
      <w:bCs w:val="1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E6B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CE6B72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CE6B72"/>
    <w:rPr>
      <w:rFonts w:ascii="Times New Roman" w:cs="Times New Roman" w:eastAsia="Times New Roman" w:hAnsi="Times New Roman"/>
      <w:kern w:val="0"/>
      <w:sz w:val="20"/>
      <w:szCs w:val="20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E6B7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E6B72"/>
    <w:rPr>
      <w:rFonts w:ascii="Times New Roman" w:cs="Times New Roman" w:eastAsia="Times New Roman" w:hAnsi="Times New Roman"/>
      <w:b w:val="1"/>
      <w:bCs w:val="1"/>
      <w:kern w:val="0"/>
      <w:sz w:val="20"/>
      <w:szCs w:val="20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iGx35hcfNy/8xB5jXDimjPXOQ==">CgMxLjA4AHIhMTB5SmZudTcxMjFwcmJaYUZ4WG9wbTJQSW1EdXJSWkp6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2024-08-05T21:36:00Z</dcterms:created>
  <dc:creator>SANDRA AIDE SANTANA</dc:creator>
</cp:coreProperties>
</file>